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8017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PYU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25414">
        <w:rPr>
          <w:rFonts w:ascii="Arial" w:hAnsi="Arial" w:cs="Arial"/>
          <w:b/>
          <w:sz w:val="20"/>
          <w:szCs w:val="20"/>
        </w:rPr>
        <w:t>Annual General Mandate 2020</w:t>
      </w:r>
      <w:r w:rsidR="00AF204F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8017E">
        <w:rPr>
          <w:rFonts w:ascii="Arial" w:hAnsi="Arial" w:cs="Arial"/>
          <w:sz w:val="20"/>
          <w:szCs w:val="20"/>
        </w:rPr>
        <w:t>15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8017E" w:rsidRPr="00D8017E">
        <w:rPr>
          <w:rFonts w:ascii="Arial" w:hAnsi="Arial" w:cs="Arial"/>
          <w:sz w:val="20"/>
          <w:szCs w:val="20"/>
        </w:rPr>
        <w:t>Phuc</w:t>
      </w:r>
      <w:proofErr w:type="spellEnd"/>
      <w:r w:rsidR="00D8017E" w:rsidRPr="00D8017E">
        <w:rPr>
          <w:rFonts w:ascii="Arial" w:hAnsi="Arial" w:cs="Arial"/>
          <w:sz w:val="20"/>
          <w:szCs w:val="20"/>
        </w:rPr>
        <w:t xml:space="preserve"> Yen Environment and Urban Works Joint Stock Company</w:t>
      </w:r>
      <w:r w:rsidR="00D8017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25414">
        <w:rPr>
          <w:rFonts w:ascii="Arial" w:hAnsi="Arial" w:cs="Arial"/>
          <w:sz w:val="20"/>
          <w:szCs w:val="20"/>
        </w:rPr>
        <w:t>annual General Mandate 2020</w:t>
      </w:r>
      <w:r w:rsidR="00AF204F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8017E" w:rsidRDefault="00D801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Approve the report on operation results, audited financial statement and 2019 </w:t>
      </w:r>
      <w:r w:rsidR="005E26D3">
        <w:rPr>
          <w:rFonts w:ascii="Arial" w:hAnsi="Arial" w:cs="Arial"/>
          <w:sz w:val="20"/>
          <w:szCs w:val="20"/>
        </w:rPr>
        <w:t>report</w:t>
      </w:r>
      <w:r>
        <w:rPr>
          <w:rFonts w:ascii="Arial" w:hAnsi="Arial" w:cs="Arial"/>
          <w:sz w:val="20"/>
          <w:szCs w:val="20"/>
        </w:rPr>
        <w:t xml:space="preserve"> of the Supervisory Board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E26D3" w:rsidTr="005E26D3">
        <w:tc>
          <w:tcPr>
            <w:tcW w:w="1915" w:type="dxa"/>
          </w:tcPr>
          <w:p w:rsidR="005E26D3" w:rsidRDefault="005E26D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indicators</w:t>
            </w:r>
          </w:p>
        </w:tc>
        <w:tc>
          <w:tcPr>
            <w:tcW w:w="1915" w:type="dxa"/>
          </w:tcPr>
          <w:p w:rsidR="005E26D3" w:rsidRDefault="005E26D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915" w:type="dxa"/>
          </w:tcPr>
          <w:p w:rsidR="005E26D3" w:rsidRDefault="005E26D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915" w:type="dxa"/>
          </w:tcPr>
          <w:p w:rsidR="005E26D3" w:rsidRDefault="005E26D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in 2019</w:t>
            </w:r>
          </w:p>
        </w:tc>
        <w:tc>
          <w:tcPr>
            <w:tcW w:w="1916" w:type="dxa"/>
          </w:tcPr>
          <w:p w:rsidR="005E26D3" w:rsidRDefault="005E26D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Realization/ plan 2019 </w:t>
            </w:r>
            <w:r w:rsidR="00D53F57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</w:tr>
      <w:tr w:rsidR="005E26D3" w:rsidTr="005E26D3">
        <w:tc>
          <w:tcPr>
            <w:tcW w:w="1915" w:type="dxa"/>
          </w:tcPr>
          <w:p w:rsidR="005E26D3" w:rsidRDefault="00D53F5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915" w:type="dxa"/>
          </w:tcPr>
          <w:p w:rsidR="005E26D3" w:rsidRDefault="00D53F5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915" w:type="dxa"/>
          </w:tcPr>
          <w:p w:rsidR="005E26D3" w:rsidRDefault="00D53F5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15" w:type="dxa"/>
          </w:tcPr>
          <w:p w:rsidR="005E26D3" w:rsidRDefault="00D53F5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43.04</w:t>
            </w:r>
          </w:p>
        </w:tc>
        <w:tc>
          <w:tcPr>
            <w:tcW w:w="1916" w:type="dxa"/>
          </w:tcPr>
          <w:p w:rsidR="005E26D3" w:rsidRDefault="00D53F5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102%</w:t>
            </w:r>
          </w:p>
        </w:tc>
      </w:tr>
      <w:tr w:rsidR="00D53F57" w:rsidTr="005E26D3">
        <w:tc>
          <w:tcPr>
            <w:tcW w:w="1915" w:type="dxa"/>
          </w:tcPr>
          <w:p w:rsidR="00D53F57" w:rsidRDefault="00D53F57" w:rsidP="00D53F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expense</w:t>
            </w:r>
          </w:p>
        </w:tc>
        <w:tc>
          <w:tcPr>
            <w:tcW w:w="1915" w:type="dxa"/>
          </w:tcPr>
          <w:p w:rsidR="00D53F57" w:rsidRDefault="00D53F57" w:rsidP="00D53F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915" w:type="dxa"/>
          </w:tcPr>
          <w:p w:rsidR="00D53F57" w:rsidRDefault="00D53F57" w:rsidP="00D53F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15" w:type="dxa"/>
          </w:tcPr>
          <w:p w:rsidR="00D53F57" w:rsidRDefault="00D53F57" w:rsidP="00D53F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41.57</w:t>
            </w:r>
          </w:p>
        </w:tc>
        <w:tc>
          <w:tcPr>
            <w:tcW w:w="1916" w:type="dxa"/>
          </w:tcPr>
          <w:p w:rsidR="00D53F57" w:rsidRDefault="00D53F57" w:rsidP="00D53F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101%</w:t>
            </w:r>
          </w:p>
        </w:tc>
      </w:tr>
      <w:tr w:rsidR="00D53F57" w:rsidTr="005E26D3">
        <w:tc>
          <w:tcPr>
            <w:tcW w:w="1915" w:type="dxa"/>
          </w:tcPr>
          <w:p w:rsidR="00D53F57" w:rsidRDefault="00D53F57" w:rsidP="00D53F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915" w:type="dxa"/>
          </w:tcPr>
          <w:p w:rsidR="00D53F57" w:rsidRDefault="00D53F57" w:rsidP="00D53F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915" w:type="dxa"/>
          </w:tcPr>
          <w:p w:rsidR="00D53F57" w:rsidRDefault="00D53F57" w:rsidP="00D53F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D53F57" w:rsidRDefault="00D53F57" w:rsidP="00D53F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</w:t>
            </w:r>
          </w:p>
        </w:tc>
        <w:tc>
          <w:tcPr>
            <w:tcW w:w="1916" w:type="dxa"/>
          </w:tcPr>
          <w:p w:rsidR="00D53F57" w:rsidRDefault="00D53F57" w:rsidP="00D53F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147%</w:t>
            </w:r>
          </w:p>
        </w:tc>
      </w:tr>
      <w:tr w:rsidR="00D53F57" w:rsidTr="005E26D3">
        <w:tc>
          <w:tcPr>
            <w:tcW w:w="1915" w:type="dxa"/>
          </w:tcPr>
          <w:p w:rsidR="00D53F57" w:rsidRDefault="00D53F57" w:rsidP="00D53F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income tax </w:t>
            </w:r>
          </w:p>
        </w:tc>
        <w:tc>
          <w:tcPr>
            <w:tcW w:w="1915" w:type="dxa"/>
          </w:tcPr>
          <w:p w:rsidR="00D53F57" w:rsidRDefault="00D53F57" w:rsidP="00D53F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915" w:type="dxa"/>
          </w:tcPr>
          <w:p w:rsidR="00D53F57" w:rsidRDefault="00DA3EA4" w:rsidP="00D53F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915" w:type="dxa"/>
          </w:tcPr>
          <w:p w:rsidR="00D53F57" w:rsidRDefault="00DA3EA4" w:rsidP="00D53F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1916" w:type="dxa"/>
          </w:tcPr>
          <w:p w:rsidR="00D53F57" w:rsidRDefault="00DA3EA4" w:rsidP="00D53F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172%</w:t>
            </w:r>
          </w:p>
        </w:tc>
      </w:tr>
      <w:tr w:rsidR="00D53F57" w:rsidTr="005E26D3">
        <w:tc>
          <w:tcPr>
            <w:tcW w:w="1915" w:type="dxa"/>
          </w:tcPr>
          <w:p w:rsidR="00D53F57" w:rsidRDefault="00D53F57" w:rsidP="00D53F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915" w:type="dxa"/>
          </w:tcPr>
          <w:p w:rsidR="00D53F57" w:rsidRDefault="00D53F57" w:rsidP="00D53F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915" w:type="dxa"/>
          </w:tcPr>
          <w:p w:rsidR="00D53F57" w:rsidRDefault="00DA3EA4" w:rsidP="00D53F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915" w:type="dxa"/>
          </w:tcPr>
          <w:p w:rsidR="00D53F57" w:rsidRDefault="00DA3EA4" w:rsidP="00D53F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1916" w:type="dxa"/>
          </w:tcPr>
          <w:p w:rsidR="00D53F57" w:rsidRDefault="00DA3EA4" w:rsidP="00D53F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141%</w:t>
            </w:r>
          </w:p>
        </w:tc>
      </w:tr>
    </w:tbl>
    <w:p w:rsidR="005E26D3" w:rsidRDefault="005E26D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3EA4" w:rsidRDefault="00DA3E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 the plan on profit distribution for 2019 as follows:</w:t>
      </w:r>
    </w:p>
    <w:p w:rsidR="00DA3EA4" w:rsidRDefault="00DA3E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profit distribution for 2019</w:t>
      </w:r>
    </w:p>
    <w:p w:rsidR="00DA3EA4" w:rsidRDefault="00DA3E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Approve the finance and business plan for 2020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866"/>
        <w:gridCol w:w="3192"/>
      </w:tblGrid>
      <w:tr w:rsidR="00DA3EA4" w:rsidTr="008969E6">
        <w:tc>
          <w:tcPr>
            <w:tcW w:w="4518" w:type="dxa"/>
          </w:tcPr>
          <w:p w:rsidR="00DA3EA4" w:rsidRDefault="00DA3EA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866" w:type="dxa"/>
          </w:tcPr>
          <w:p w:rsidR="00DA3EA4" w:rsidRDefault="00DA3EA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3192" w:type="dxa"/>
          </w:tcPr>
          <w:p w:rsidR="00DA3EA4" w:rsidRDefault="00DA3EA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</w:tr>
      <w:tr w:rsidR="00DA3EA4" w:rsidTr="008969E6">
        <w:tc>
          <w:tcPr>
            <w:tcW w:w="4518" w:type="dxa"/>
          </w:tcPr>
          <w:p w:rsidR="00DA3EA4" w:rsidRDefault="00DA3EA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866" w:type="dxa"/>
          </w:tcPr>
          <w:p w:rsidR="00DA3EA4" w:rsidRDefault="00DA3EA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3192" w:type="dxa"/>
          </w:tcPr>
          <w:p w:rsidR="00DA3EA4" w:rsidRDefault="008969E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43,000,000,000</w:t>
            </w:r>
          </w:p>
        </w:tc>
      </w:tr>
      <w:tr w:rsidR="008969E6" w:rsidTr="008969E6">
        <w:tc>
          <w:tcPr>
            <w:tcW w:w="4518" w:type="dxa"/>
          </w:tcPr>
          <w:p w:rsidR="008969E6" w:rsidRDefault="008969E6" w:rsidP="008969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866" w:type="dxa"/>
          </w:tcPr>
          <w:p w:rsidR="008969E6" w:rsidRDefault="008969E6" w:rsidP="008969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3192" w:type="dxa"/>
          </w:tcPr>
          <w:p w:rsidR="008969E6" w:rsidRDefault="008969E6" w:rsidP="008969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1,500,000,000</w:t>
            </w:r>
          </w:p>
        </w:tc>
      </w:tr>
      <w:tr w:rsidR="008969E6" w:rsidTr="008969E6">
        <w:tc>
          <w:tcPr>
            <w:tcW w:w="4518" w:type="dxa"/>
          </w:tcPr>
          <w:p w:rsidR="008969E6" w:rsidRDefault="008969E6" w:rsidP="008969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Contributing to the State's budget </w:t>
            </w:r>
          </w:p>
        </w:tc>
        <w:tc>
          <w:tcPr>
            <w:tcW w:w="1866" w:type="dxa"/>
          </w:tcPr>
          <w:p w:rsidR="008969E6" w:rsidRDefault="008969E6" w:rsidP="008969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3192" w:type="dxa"/>
          </w:tcPr>
          <w:p w:rsidR="008969E6" w:rsidRDefault="008969E6" w:rsidP="008969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1,782,000,000</w:t>
            </w:r>
          </w:p>
        </w:tc>
      </w:tr>
      <w:tr w:rsidR="00DA3EA4" w:rsidTr="008969E6">
        <w:tc>
          <w:tcPr>
            <w:tcW w:w="4518" w:type="dxa"/>
          </w:tcPr>
          <w:p w:rsidR="00DA3EA4" w:rsidRDefault="00DA3EA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rate</w:t>
            </w:r>
          </w:p>
        </w:tc>
        <w:tc>
          <w:tcPr>
            <w:tcW w:w="1866" w:type="dxa"/>
          </w:tcPr>
          <w:p w:rsidR="00DA3EA4" w:rsidRDefault="008969E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92" w:type="dxa"/>
          </w:tcPr>
          <w:p w:rsidR="00DA3EA4" w:rsidRDefault="008969E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969E6" w:rsidTr="008969E6">
        <w:tc>
          <w:tcPr>
            <w:tcW w:w="4518" w:type="dxa"/>
          </w:tcPr>
          <w:p w:rsidR="008969E6" w:rsidRDefault="008969E6" w:rsidP="008969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income/ person/ month</w:t>
            </w:r>
          </w:p>
        </w:tc>
        <w:tc>
          <w:tcPr>
            <w:tcW w:w="1866" w:type="dxa"/>
          </w:tcPr>
          <w:p w:rsidR="008969E6" w:rsidRDefault="008969E6" w:rsidP="008969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3192" w:type="dxa"/>
          </w:tcPr>
          <w:p w:rsidR="008969E6" w:rsidRDefault="008969E6" w:rsidP="008969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7,300,000</w:t>
            </w:r>
          </w:p>
        </w:tc>
      </w:tr>
    </w:tbl>
    <w:p w:rsidR="00DA3EA4" w:rsidRDefault="00DA3E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69E6" w:rsidRDefault="008969E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Settlement of remuneration for the Board of Directors, Supervisory Board in 2019 and remuneration payment to the Board of Directors and Supervisory Board in 2020</w:t>
      </w:r>
    </w:p>
    <w:p w:rsidR="008969E6" w:rsidRDefault="008969E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680"/>
        <w:gridCol w:w="2160"/>
        <w:gridCol w:w="1998"/>
      </w:tblGrid>
      <w:tr w:rsidR="008969E6" w:rsidTr="002E5C79">
        <w:tc>
          <w:tcPr>
            <w:tcW w:w="738" w:type="dxa"/>
          </w:tcPr>
          <w:p w:rsidR="008969E6" w:rsidRDefault="008969E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680" w:type="dxa"/>
          </w:tcPr>
          <w:p w:rsidR="008969E6" w:rsidRDefault="008969E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2160" w:type="dxa"/>
          </w:tcPr>
          <w:p w:rsidR="008969E6" w:rsidRDefault="008969E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Settlement in 2019</w:t>
            </w:r>
          </w:p>
        </w:tc>
        <w:tc>
          <w:tcPr>
            <w:tcW w:w="1998" w:type="dxa"/>
          </w:tcPr>
          <w:p w:rsidR="008969E6" w:rsidRDefault="002E5C7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level in 2020</w:t>
            </w:r>
          </w:p>
        </w:tc>
      </w:tr>
      <w:tr w:rsidR="00F84CAD" w:rsidTr="002E5C79">
        <w:tc>
          <w:tcPr>
            <w:tcW w:w="738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2160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97,920,000</w:t>
            </w:r>
          </w:p>
        </w:tc>
        <w:tc>
          <w:tcPr>
            <w:tcW w:w="1998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97,920,000</w:t>
            </w:r>
          </w:p>
        </w:tc>
      </w:tr>
      <w:tr w:rsidR="00F84CAD" w:rsidTr="002E5C79">
        <w:tc>
          <w:tcPr>
            <w:tcW w:w="738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80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the Board of Directors </w:t>
            </w:r>
          </w:p>
        </w:tc>
        <w:tc>
          <w:tcPr>
            <w:tcW w:w="2160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28,800,000</w:t>
            </w:r>
          </w:p>
        </w:tc>
        <w:tc>
          <w:tcPr>
            <w:tcW w:w="1998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28,800,000</w:t>
            </w:r>
          </w:p>
        </w:tc>
      </w:tr>
      <w:tr w:rsidR="00F84CAD" w:rsidTr="002E5C79">
        <w:tc>
          <w:tcPr>
            <w:tcW w:w="738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80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the Board of Directors (04 members)</w:t>
            </w:r>
          </w:p>
        </w:tc>
        <w:tc>
          <w:tcPr>
            <w:tcW w:w="2160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69,120,000</w:t>
            </w:r>
          </w:p>
        </w:tc>
        <w:tc>
          <w:tcPr>
            <w:tcW w:w="1998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69,120,000</w:t>
            </w:r>
          </w:p>
        </w:tc>
      </w:tr>
      <w:tr w:rsidR="00F84CAD" w:rsidTr="002E5C79">
        <w:tc>
          <w:tcPr>
            <w:tcW w:w="738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680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Supervisory Board </w:t>
            </w:r>
          </w:p>
        </w:tc>
        <w:tc>
          <w:tcPr>
            <w:tcW w:w="2160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40,320,000</w:t>
            </w:r>
          </w:p>
        </w:tc>
        <w:tc>
          <w:tcPr>
            <w:tcW w:w="1998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40,320,000</w:t>
            </w:r>
          </w:p>
        </w:tc>
      </w:tr>
      <w:tr w:rsidR="00F84CAD" w:rsidTr="002E5C79">
        <w:tc>
          <w:tcPr>
            <w:tcW w:w="738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80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the Supervisory Board </w:t>
            </w:r>
          </w:p>
        </w:tc>
        <w:tc>
          <w:tcPr>
            <w:tcW w:w="2160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17,280,000</w:t>
            </w:r>
          </w:p>
        </w:tc>
        <w:tc>
          <w:tcPr>
            <w:tcW w:w="1998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17,280,000</w:t>
            </w:r>
          </w:p>
        </w:tc>
      </w:tr>
      <w:tr w:rsidR="00F84CAD" w:rsidTr="002E5C79">
        <w:tc>
          <w:tcPr>
            <w:tcW w:w="738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80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the Supervisory Board (02 members)</w:t>
            </w:r>
          </w:p>
        </w:tc>
        <w:tc>
          <w:tcPr>
            <w:tcW w:w="2160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23,040,000</w:t>
            </w:r>
          </w:p>
        </w:tc>
        <w:tc>
          <w:tcPr>
            <w:tcW w:w="1998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23,040,000</w:t>
            </w:r>
          </w:p>
        </w:tc>
      </w:tr>
      <w:tr w:rsidR="00F84CAD" w:rsidTr="002E5C79">
        <w:tc>
          <w:tcPr>
            <w:tcW w:w="738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remuneration for the Board of Directors, Supervisory Board </w:t>
            </w:r>
          </w:p>
        </w:tc>
        <w:tc>
          <w:tcPr>
            <w:tcW w:w="2160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138,240,000</w:t>
            </w:r>
          </w:p>
        </w:tc>
        <w:tc>
          <w:tcPr>
            <w:tcW w:w="1998" w:type="dxa"/>
          </w:tcPr>
          <w:p w:rsidR="00F84CAD" w:rsidRDefault="00F84CAD" w:rsidP="00F84CA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138,240,000</w:t>
            </w:r>
          </w:p>
        </w:tc>
      </w:tr>
    </w:tbl>
    <w:p w:rsidR="008969E6" w:rsidRDefault="008969E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1BC6" w:rsidRDefault="00F84CA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</w:t>
      </w:r>
      <w:r w:rsidRPr="00F84CAD">
        <w:rPr>
          <w:rFonts w:ascii="Arial" w:hAnsi="Arial" w:cs="Arial"/>
          <w:sz w:val="20"/>
          <w:szCs w:val="20"/>
        </w:rPr>
        <w:t xml:space="preserve"> Approving the selection of </w:t>
      </w:r>
      <w:r w:rsidR="00C51BC6">
        <w:rPr>
          <w:rFonts w:ascii="Arial" w:hAnsi="Arial" w:cs="Arial"/>
          <w:sz w:val="20"/>
          <w:szCs w:val="20"/>
        </w:rPr>
        <w:t>an independent auditor to audit the financial statement</w:t>
      </w:r>
      <w:r w:rsidRPr="00F84CAD">
        <w:rPr>
          <w:rFonts w:ascii="Arial" w:hAnsi="Arial" w:cs="Arial"/>
          <w:sz w:val="20"/>
          <w:szCs w:val="20"/>
        </w:rPr>
        <w:t xml:space="preserve"> in 2020 </w:t>
      </w:r>
    </w:p>
    <w:p w:rsidR="00C51BC6" w:rsidRDefault="00F84CA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4CAD">
        <w:rPr>
          <w:rFonts w:ascii="Arial" w:hAnsi="Arial" w:cs="Arial"/>
          <w:sz w:val="20"/>
          <w:szCs w:val="20"/>
        </w:rPr>
        <w:t xml:space="preserve">Approving the list and authorizing the Board of Directors, the </w:t>
      </w:r>
      <w:r w:rsidR="00C51BC6">
        <w:rPr>
          <w:rFonts w:ascii="Arial" w:hAnsi="Arial" w:cs="Arial"/>
          <w:sz w:val="20"/>
          <w:szCs w:val="20"/>
        </w:rPr>
        <w:t>Supervisory Board</w:t>
      </w:r>
      <w:r w:rsidRPr="00F84CAD">
        <w:rPr>
          <w:rFonts w:ascii="Arial" w:hAnsi="Arial" w:cs="Arial"/>
          <w:sz w:val="20"/>
          <w:szCs w:val="20"/>
        </w:rPr>
        <w:t xml:space="preserve"> to select</w:t>
      </w:r>
      <w:r w:rsidR="00C51BC6">
        <w:rPr>
          <w:rFonts w:ascii="Arial" w:hAnsi="Arial" w:cs="Arial"/>
          <w:sz w:val="20"/>
          <w:szCs w:val="20"/>
        </w:rPr>
        <w:t xml:space="preserve"> an</w:t>
      </w:r>
      <w:r w:rsidRPr="00F84CAD">
        <w:rPr>
          <w:rFonts w:ascii="Arial" w:hAnsi="Arial" w:cs="Arial"/>
          <w:sz w:val="20"/>
          <w:szCs w:val="20"/>
        </w:rPr>
        <w:t xml:space="preserve"> independent, </w:t>
      </w:r>
      <w:r w:rsidR="00C51BC6">
        <w:rPr>
          <w:rFonts w:ascii="Arial" w:hAnsi="Arial" w:cs="Arial"/>
          <w:sz w:val="20"/>
          <w:szCs w:val="20"/>
        </w:rPr>
        <w:t>reputable and qualified auditor according to regulations</w:t>
      </w:r>
      <w:r w:rsidRPr="00F84CAD">
        <w:rPr>
          <w:rFonts w:ascii="Arial" w:hAnsi="Arial" w:cs="Arial"/>
          <w:sz w:val="20"/>
          <w:szCs w:val="20"/>
        </w:rPr>
        <w:t xml:space="preserve"> of the State Securities Commission to audit th</w:t>
      </w:r>
      <w:r w:rsidR="00C51BC6">
        <w:rPr>
          <w:rFonts w:ascii="Arial" w:hAnsi="Arial" w:cs="Arial"/>
          <w:sz w:val="20"/>
          <w:szCs w:val="20"/>
        </w:rPr>
        <w:t>e Company's financial statement</w:t>
      </w:r>
      <w:r w:rsidRPr="00F84CAD">
        <w:rPr>
          <w:rFonts w:ascii="Arial" w:hAnsi="Arial" w:cs="Arial"/>
          <w:sz w:val="20"/>
          <w:szCs w:val="20"/>
        </w:rPr>
        <w:t xml:space="preserve"> in 2020 among the following companies: </w:t>
      </w:r>
    </w:p>
    <w:p w:rsidR="007F69B1" w:rsidRDefault="00F84CA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4CAD">
        <w:rPr>
          <w:rFonts w:ascii="Arial" w:hAnsi="Arial" w:cs="Arial"/>
          <w:sz w:val="20"/>
          <w:szCs w:val="20"/>
        </w:rPr>
        <w:t>1. AAC Auditing</w:t>
      </w:r>
      <w:r w:rsidR="007F69B1">
        <w:rPr>
          <w:rFonts w:ascii="Arial" w:hAnsi="Arial" w:cs="Arial"/>
          <w:sz w:val="20"/>
          <w:szCs w:val="20"/>
        </w:rPr>
        <w:t xml:space="preserve"> and Accounting Company Limited</w:t>
      </w:r>
    </w:p>
    <w:p w:rsidR="007F69B1" w:rsidRDefault="00F84CA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4CAD">
        <w:rPr>
          <w:rFonts w:ascii="Arial" w:hAnsi="Arial" w:cs="Arial"/>
          <w:sz w:val="20"/>
          <w:szCs w:val="20"/>
        </w:rPr>
        <w:t>2. UHY A</w:t>
      </w:r>
      <w:r w:rsidR="007F69B1">
        <w:rPr>
          <w:rFonts w:ascii="Arial" w:hAnsi="Arial" w:cs="Arial"/>
          <w:sz w:val="20"/>
          <w:szCs w:val="20"/>
        </w:rPr>
        <w:t>uditing and Consulting Co., Ltd</w:t>
      </w:r>
    </w:p>
    <w:p w:rsidR="00F84CAD" w:rsidRDefault="00F84CA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4CAD">
        <w:rPr>
          <w:rFonts w:ascii="Arial" w:hAnsi="Arial" w:cs="Arial"/>
          <w:sz w:val="20"/>
          <w:szCs w:val="20"/>
        </w:rPr>
        <w:t>In case of failure to reach an agreement with the above-mentioned auditing units or the above</w:t>
      </w:r>
      <w:r w:rsidR="007F69B1">
        <w:rPr>
          <w:rFonts w:ascii="Arial" w:hAnsi="Arial" w:cs="Arial"/>
          <w:sz w:val="20"/>
          <w:szCs w:val="20"/>
        </w:rPr>
        <w:t>-mentioned auditing firms are excluded from</w:t>
      </w:r>
      <w:r w:rsidRPr="00F84CAD">
        <w:rPr>
          <w:rFonts w:ascii="Arial" w:hAnsi="Arial" w:cs="Arial"/>
          <w:sz w:val="20"/>
          <w:szCs w:val="20"/>
        </w:rPr>
        <w:t xml:space="preserve"> the list of auditing organizations approved to audit for public-interest units, the </w:t>
      </w:r>
      <w:r w:rsidR="008B2DCA">
        <w:rPr>
          <w:rFonts w:ascii="Arial" w:hAnsi="Arial" w:cs="Arial"/>
          <w:sz w:val="20"/>
          <w:szCs w:val="20"/>
        </w:rPr>
        <w:t>annual General Meeting of Shareholders</w:t>
      </w:r>
      <w:r w:rsidRPr="00F84CAD">
        <w:rPr>
          <w:rFonts w:ascii="Arial" w:hAnsi="Arial" w:cs="Arial"/>
          <w:sz w:val="20"/>
          <w:szCs w:val="20"/>
        </w:rPr>
        <w:t xml:space="preserve"> authorize</w:t>
      </w:r>
      <w:r w:rsidR="008B2DCA">
        <w:rPr>
          <w:rFonts w:ascii="Arial" w:hAnsi="Arial" w:cs="Arial"/>
          <w:sz w:val="20"/>
          <w:szCs w:val="20"/>
        </w:rPr>
        <w:t>s</w:t>
      </w:r>
      <w:r w:rsidRPr="00F84CAD">
        <w:rPr>
          <w:rFonts w:ascii="Arial" w:hAnsi="Arial" w:cs="Arial"/>
          <w:sz w:val="20"/>
          <w:szCs w:val="20"/>
        </w:rPr>
        <w:t xml:space="preserve"> the Board of Directors </w:t>
      </w:r>
      <w:r w:rsidR="008B2DCA">
        <w:rPr>
          <w:rFonts w:ascii="Arial" w:hAnsi="Arial" w:cs="Arial"/>
          <w:sz w:val="20"/>
          <w:szCs w:val="20"/>
        </w:rPr>
        <w:t>together</w:t>
      </w:r>
      <w:r w:rsidRPr="00F84CAD">
        <w:rPr>
          <w:rFonts w:ascii="Arial" w:hAnsi="Arial" w:cs="Arial"/>
          <w:sz w:val="20"/>
          <w:szCs w:val="20"/>
        </w:rPr>
        <w:t xml:space="preserve"> with the Supervisory Board to select another unit in the list of approved auditing organizations as prescribed to </w:t>
      </w:r>
      <w:r w:rsidR="008B2DCA">
        <w:rPr>
          <w:rFonts w:ascii="Arial" w:hAnsi="Arial" w:cs="Arial"/>
          <w:sz w:val="20"/>
          <w:szCs w:val="20"/>
        </w:rPr>
        <w:t>audit the financial statement of 2020</w:t>
      </w:r>
      <w:r w:rsidRPr="00F84CAD">
        <w:rPr>
          <w:rFonts w:ascii="Arial" w:hAnsi="Arial" w:cs="Arial"/>
          <w:sz w:val="20"/>
          <w:szCs w:val="20"/>
        </w:rPr>
        <w:t xml:space="preserve"> of the </w:t>
      </w:r>
      <w:r w:rsidR="008B2DCA">
        <w:rPr>
          <w:rFonts w:ascii="Arial" w:hAnsi="Arial" w:cs="Arial"/>
          <w:sz w:val="20"/>
          <w:szCs w:val="20"/>
        </w:rPr>
        <w:t>Company</w:t>
      </w:r>
    </w:p>
    <w:p w:rsidR="001C5839" w:rsidRDefault="008B2D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2DCA">
        <w:rPr>
          <w:rFonts w:ascii="Arial" w:hAnsi="Arial" w:cs="Arial"/>
          <w:sz w:val="20"/>
          <w:szCs w:val="20"/>
        </w:rPr>
        <w:t>Article 6</w:t>
      </w:r>
      <w:r w:rsidR="001C5839">
        <w:rPr>
          <w:rFonts w:ascii="Arial" w:hAnsi="Arial" w:cs="Arial"/>
          <w:sz w:val="20"/>
          <w:szCs w:val="20"/>
        </w:rPr>
        <w:t>:</w:t>
      </w:r>
      <w:r w:rsidRPr="008B2DCA">
        <w:rPr>
          <w:rFonts w:ascii="Arial" w:hAnsi="Arial" w:cs="Arial"/>
          <w:sz w:val="20"/>
          <w:szCs w:val="20"/>
        </w:rPr>
        <w:t xml:space="preserve"> Approving the</w:t>
      </w:r>
      <w:r w:rsidR="001C5839">
        <w:rPr>
          <w:rFonts w:ascii="Arial" w:hAnsi="Arial" w:cs="Arial"/>
          <w:sz w:val="20"/>
          <w:szCs w:val="20"/>
        </w:rPr>
        <w:t xml:space="preserve"> number and term of the Board of Directors and Supervisory Board </w:t>
      </w:r>
    </w:p>
    <w:p w:rsidR="00EA7BD4" w:rsidRDefault="00EA7B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the report of the Board of Directors on approval of resignation of</w:t>
      </w:r>
      <w:r w:rsidR="008B2DCA" w:rsidRPr="008B2DCA">
        <w:rPr>
          <w:rFonts w:ascii="Arial" w:hAnsi="Arial" w:cs="Arial"/>
          <w:sz w:val="20"/>
          <w:szCs w:val="20"/>
        </w:rPr>
        <w:t xml:space="preserve"> Mr. Nguyen Huy Hai and appoint</w:t>
      </w:r>
      <w:r>
        <w:rPr>
          <w:rFonts w:ascii="Arial" w:hAnsi="Arial" w:cs="Arial"/>
          <w:sz w:val="20"/>
          <w:szCs w:val="20"/>
        </w:rPr>
        <w:t>ment of</w:t>
      </w:r>
      <w:r w:rsidR="008B2DCA" w:rsidRPr="008B2DCA">
        <w:rPr>
          <w:rFonts w:ascii="Arial" w:hAnsi="Arial" w:cs="Arial"/>
          <w:sz w:val="20"/>
          <w:szCs w:val="20"/>
        </w:rPr>
        <w:t xml:space="preserve"> Mr. Dang Van </w:t>
      </w:r>
      <w:proofErr w:type="spellStart"/>
      <w:r w:rsidR="008B2DCA" w:rsidRPr="008B2DCA">
        <w:rPr>
          <w:rFonts w:ascii="Arial" w:hAnsi="Arial" w:cs="Arial"/>
          <w:sz w:val="20"/>
          <w:szCs w:val="20"/>
        </w:rPr>
        <w:t>Vinh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53E8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</w:t>
      </w:r>
      <w:r w:rsidR="008B2DCA" w:rsidRPr="008B2DCA">
        <w:rPr>
          <w:rFonts w:ascii="Arial" w:hAnsi="Arial" w:cs="Arial"/>
          <w:sz w:val="20"/>
          <w:szCs w:val="20"/>
        </w:rPr>
        <w:t xml:space="preserve">ember of the Board of Directors, Deputy Director </w:t>
      </w:r>
      <w:r w:rsidR="00953E87">
        <w:rPr>
          <w:rFonts w:ascii="Arial" w:hAnsi="Arial" w:cs="Arial"/>
          <w:sz w:val="20"/>
          <w:szCs w:val="20"/>
        </w:rPr>
        <w:t>to position of</w:t>
      </w:r>
      <w:r w:rsidR="008B2DCA" w:rsidRPr="008B2DCA">
        <w:rPr>
          <w:rFonts w:ascii="Arial" w:hAnsi="Arial" w:cs="Arial"/>
          <w:sz w:val="20"/>
          <w:szCs w:val="20"/>
        </w:rPr>
        <w:t xml:space="preserve"> the legal representative of the </w:t>
      </w:r>
      <w:r w:rsidR="00953E87">
        <w:rPr>
          <w:rFonts w:ascii="Arial" w:hAnsi="Arial" w:cs="Arial"/>
          <w:sz w:val="20"/>
          <w:szCs w:val="20"/>
        </w:rPr>
        <w:t>Company from February 1, 2020</w:t>
      </w:r>
    </w:p>
    <w:p w:rsidR="001C5839" w:rsidRDefault="008B2D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2DCA">
        <w:rPr>
          <w:rFonts w:ascii="Arial" w:hAnsi="Arial" w:cs="Arial"/>
          <w:sz w:val="20"/>
          <w:szCs w:val="20"/>
        </w:rPr>
        <w:t>Appr</w:t>
      </w:r>
      <w:r w:rsidR="00492514">
        <w:rPr>
          <w:rFonts w:ascii="Arial" w:hAnsi="Arial" w:cs="Arial"/>
          <w:sz w:val="20"/>
          <w:szCs w:val="20"/>
        </w:rPr>
        <w:t>oving the extension of the term</w:t>
      </w:r>
      <w:r w:rsidRPr="008B2DCA">
        <w:rPr>
          <w:rFonts w:ascii="Arial" w:hAnsi="Arial" w:cs="Arial"/>
          <w:sz w:val="20"/>
          <w:szCs w:val="20"/>
        </w:rPr>
        <w:t xml:space="preserve"> of the Board of Directors and the Supervisory Board and maintaining the number of 04 </w:t>
      </w:r>
      <w:r w:rsidR="00492514">
        <w:rPr>
          <w:rFonts w:ascii="Arial" w:hAnsi="Arial" w:cs="Arial"/>
          <w:sz w:val="20"/>
          <w:szCs w:val="20"/>
        </w:rPr>
        <w:t>members of the Board of Directors of term I</w:t>
      </w:r>
      <w:r w:rsidR="002D134A">
        <w:rPr>
          <w:rFonts w:ascii="Arial" w:hAnsi="Arial" w:cs="Arial"/>
          <w:sz w:val="20"/>
          <w:szCs w:val="20"/>
        </w:rPr>
        <w:t xml:space="preserve">, after </w:t>
      </w:r>
      <w:r w:rsidR="00492514">
        <w:rPr>
          <w:rFonts w:ascii="Arial" w:hAnsi="Arial" w:cs="Arial"/>
          <w:sz w:val="20"/>
          <w:szCs w:val="20"/>
        </w:rPr>
        <w:t>completion of State-owned capital divestment</w:t>
      </w:r>
      <w:r w:rsidR="002D134A">
        <w:rPr>
          <w:rFonts w:ascii="Arial" w:hAnsi="Arial" w:cs="Arial"/>
          <w:sz w:val="20"/>
          <w:szCs w:val="20"/>
        </w:rPr>
        <w:t xml:space="preserve">, the extraordinary General Meeting of Shareholders </w:t>
      </w:r>
      <w:r w:rsidR="00DA2D42">
        <w:rPr>
          <w:rFonts w:ascii="Arial" w:hAnsi="Arial" w:cs="Arial"/>
          <w:sz w:val="20"/>
          <w:szCs w:val="20"/>
        </w:rPr>
        <w:t>will be convened</w:t>
      </w:r>
      <w:r w:rsidRPr="008B2DCA">
        <w:rPr>
          <w:rFonts w:ascii="Arial" w:hAnsi="Arial" w:cs="Arial"/>
          <w:sz w:val="20"/>
          <w:szCs w:val="20"/>
        </w:rPr>
        <w:t xml:space="preserve"> to elect the Board of Directors and th</w:t>
      </w:r>
      <w:r w:rsidR="00DA2D42">
        <w:rPr>
          <w:rFonts w:ascii="Arial" w:hAnsi="Arial" w:cs="Arial"/>
          <w:sz w:val="20"/>
          <w:szCs w:val="20"/>
        </w:rPr>
        <w:t>e Supervisory Board for term II</w:t>
      </w:r>
      <w:r w:rsidRPr="008B2DCA">
        <w:rPr>
          <w:rFonts w:ascii="Arial" w:hAnsi="Arial" w:cs="Arial"/>
          <w:sz w:val="20"/>
          <w:szCs w:val="20"/>
        </w:rPr>
        <w:t xml:space="preserve">  </w:t>
      </w:r>
    </w:p>
    <w:p w:rsidR="00DA2D42" w:rsidRDefault="00DA2D4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</w:t>
      </w:r>
      <w:r w:rsidR="008B2DCA" w:rsidRPr="008B2DCA">
        <w:rPr>
          <w:rFonts w:ascii="Arial" w:hAnsi="Arial" w:cs="Arial"/>
          <w:sz w:val="20"/>
          <w:szCs w:val="20"/>
        </w:rPr>
        <w:t xml:space="preserve"> Implementing provisions</w:t>
      </w:r>
    </w:p>
    <w:p w:rsidR="00DA2D42" w:rsidRDefault="00DA2D4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annual General Mandate was approve by the annual General Meeting of Shareholders held on June 15, 2020 and took</w:t>
      </w:r>
      <w:r w:rsidR="008B2DCA" w:rsidRPr="008B2DCA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ffect from the date of signing</w:t>
      </w:r>
    </w:p>
    <w:p w:rsidR="008B2DCA" w:rsidRDefault="008B2D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2DCA">
        <w:rPr>
          <w:rFonts w:ascii="Arial" w:hAnsi="Arial" w:cs="Arial"/>
          <w:sz w:val="20"/>
          <w:szCs w:val="20"/>
        </w:rPr>
        <w:t xml:space="preserve">Members of the Board of Directors, the </w:t>
      </w:r>
      <w:r w:rsidR="00DA2D42">
        <w:rPr>
          <w:rFonts w:ascii="Arial" w:hAnsi="Arial" w:cs="Arial"/>
          <w:sz w:val="20"/>
          <w:szCs w:val="20"/>
        </w:rPr>
        <w:t>Supervisory Board</w:t>
      </w:r>
      <w:r w:rsidRPr="008B2DCA">
        <w:rPr>
          <w:rFonts w:ascii="Arial" w:hAnsi="Arial" w:cs="Arial"/>
          <w:sz w:val="20"/>
          <w:szCs w:val="20"/>
        </w:rPr>
        <w:t xml:space="preserve">, and the </w:t>
      </w:r>
      <w:r w:rsidR="00DA2D42">
        <w:rPr>
          <w:rFonts w:ascii="Arial" w:hAnsi="Arial" w:cs="Arial"/>
          <w:sz w:val="20"/>
          <w:szCs w:val="20"/>
        </w:rPr>
        <w:t>Management Board</w:t>
      </w:r>
      <w:r w:rsidRPr="008B2DCA">
        <w:rPr>
          <w:rFonts w:ascii="Arial" w:hAnsi="Arial" w:cs="Arial"/>
          <w:sz w:val="20"/>
          <w:szCs w:val="20"/>
        </w:rPr>
        <w:t xml:space="preserve"> are responsible for the implementation of this </w:t>
      </w:r>
      <w:r w:rsidR="00DA2D42">
        <w:rPr>
          <w:rFonts w:ascii="Arial" w:hAnsi="Arial" w:cs="Arial"/>
          <w:sz w:val="20"/>
          <w:szCs w:val="20"/>
        </w:rPr>
        <w:t>annual General Mandate</w:t>
      </w:r>
      <w:r w:rsidRPr="008B2DCA">
        <w:rPr>
          <w:rFonts w:ascii="Arial" w:hAnsi="Arial" w:cs="Arial"/>
          <w:sz w:val="20"/>
          <w:szCs w:val="20"/>
        </w:rPr>
        <w:t xml:space="preserve"> according to their operational functions in accordance with the provisions of law and the Charter of </w:t>
      </w:r>
      <w:proofErr w:type="spellStart"/>
      <w:r w:rsidR="002B4792" w:rsidRPr="002B4792">
        <w:rPr>
          <w:rFonts w:ascii="Arial" w:hAnsi="Arial" w:cs="Arial"/>
          <w:sz w:val="20"/>
          <w:szCs w:val="20"/>
        </w:rPr>
        <w:t>Phuc</w:t>
      </w:r>
      <w:proofErr w:type="spellEnd"/>
      <w:r w:rsidR="002B4792" w:rsidRPr="002B4792">
        <w:rPr>
          <w:rFonts w:ascii="Arial" w:hAnsi="Arial" w:cs="Arial"/>
          <w:sz w:val="20"/>
          <w:szCs w:val="20"/>
        </w:rPr>
        <w:t xml:space="preserve"> Yen Environment and Urban Works Joint Stock Company</w:t>
      </w:r>
      <w:r w:rsidR="00326FC4">
        <w:rPr>
          <w:rFonts w:ascii="Arial" w:hAnsi="Arial" w:cs="Arial"/>
          <w:sz w:val="20"/>
          <w:szCs w:val="20"/>
        </w:rPr>
        <w:t>.</w:t>
      </w:r>
    </w:p>
    <w:sectPr w:rsidR="008B2DCA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0167"/>
    <w:rsid w:val="00022849"/>
    <w:rsid w:val="00023813"/>
    <w:rsid w:val="00025C89"/>
    <w:rsid w:val="000266C2"/>
    <w:rsid w:val="000365C1"/>
    <w:rsid w:val="00041D21"/>
    <w:rsid w:val="00045327"/>
    <w:rsid w:val="00050E3D"/>
    <w:rsid w:val="000603A9"/>
    <w:rsid w:val="00066EE1"/>
    <w:rsid w:val="00067F24"/>
    <w:rsid w:val="00071B5A"/>
    <w:rsid w:val="00075754"/>
    <w:rsid w:val="00081D49"/>
    <w:rsid w:val="00083EB7"/>
    <w:rsid w:val="00085176"/>
    <w:rsid w:val="00085D47"/>
    <w:rsid w:val="00087E46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42CA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75C"/>
    <w:rsid w:val="00185E8C"/>
    <w:rsid w:val="00191F14"/>
    <w:rsid w:val="001937B4"/>
    <w:rsid w:val="00194B6D"/>
    <w:rsid w:val="001B0D98"/>
    <w:rsid w:val="001C0B2B"/>
    <w:rsid w:val="001C5839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391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36F9F"/>
    <w:rsid w:val="0024779B"/>
    <w:rsid w:val="0025148F"/>
    <w:rsid w:val="00251CD9"/>
    <w:rsid w:val="00252CE0"/>
    <w:rsid w:val="00254EA2"/>
    <w:rsid w:val="0026535B"/>
    <w:rsid w:val="002701FB"/>
    <w:rsid w:val="002765B3"/>
    <w:rsid w:val="002779D1"/>
    <w:rsid w:val="0028284F"/>
    <w:rsid w:val="00287698"/>
    <w:rsid w:val="0029161A"/>
    <w:rsid w:val="00296BF9"/>
    <w:rsid w:val="002A3D5D"/>
    <w:rsid w:val="002A5A98"/>
    <w:rsid w:val="002A5AA4"/>
    <w:rsid w:val="002B16CF"/>
    <w:rsid w:val="002B42CC"/>
    <w:rsid w:val="002B4792"/>
    <w:rsid w:val="002C36A5"/>
    <w:rsid w:val="002D134A"/>
    <w:rsid w:val="002D481A"/>
    <w:rsid w:val="002D4939"/>
    <w:rsid w:val="002D53EE"/>
    <w:rsid w:val="002D61ED"/>
    <w:rsid w:val="002E10C4"/>
    <w:rsid w:val="002E43D7"/>
    <w:rsid w:val="002E5AD7"/>
    <w:rsid w:val="002E5C79"/>
    <w:rsid w:val="002E76E5"/>
    <w:rsid w:val="002E7FD0"/>
    <w:rsid w:val="002F68A9"/>
    <w:rsid w:val="003000BF"/>
    <w:rsid w:val="00303167"/>
    <w:rsid w:val="00304722"/>
    <w:rsid w:val="0030503E"/>
    <w:rsid w:val="00311EFA"/>
    <w:rsid w:val="00312733"/>
    <w:rsid w:val="0031274D"/>
    <w:rsid w:val="00316F05"/>
    <w:rsid w:val="00320096"/>
    <w:rsid w:val="0032185B"/>
    <w:rsid w:val="00323657"/>
    <w:rsid w:val="00326FC4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1F06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02CB"/>
    <w:rsid w:val="003D18D5"/>
    <w:rsid w:val="003D36CC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2514"/>
    <w:rsid w:val="00494DFC"/>
    <w:rsid w:val="00494F15"/>
    <w:rsid w:val="00496733"/>
    <w:rsid w:val="004A5289"/>
    <w:rsid w:val="004A554D"/>
    <w:rsid w:val="004B2BA6"/>
    <w:rsid w:val="004B4798"/>
    <w:rsid w:val="004C144F"/>
    <w:rsid w:val="004C22A2"/>
    <w:rsid w:val="004D5E0D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17C2"/>
    <w:rsid w:val="005E26D3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C2D1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69B1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76050"/>
    <w:rsid w:val="00882307"/>
    <w:rsid w:val="00884B9C"/>
    <w:rsid w:val="00887454"/>
    <w:rsid w:val="008969E6"/>
    <w:rsid w:val="008A2225"/>
    <w:rsid w:val="008A7D89"/>
    <w:rsid w:val="008B0A69"/>
    <w:rsid w:val="008B2DCA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5F4"/>
    <w:rsid w:val="00911890"/>
    <w:rsid w:val="00912FBD"/>
    <w:rsid w:val="009232CB"/>
    <w:rsid w:val="00923467"/>
    <w:rsid w:val="00926469"/>
    <w:rsid w:val="009264B0"/>
    <w:rsid w:val="009331DA"/>
    <w:rsid w:val="00934FC0"/>
    <w:rsid w:val="00937D79"/>
    <w:rsid w:val="009410B8"/>
    <w:rsid w:val="009464B8"/>
    <w:rsid w:val="00953E87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25414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204F"/>
    <w:rsid w:val="00AF67BE"/>
    <w:rsid w:val="00B04704"/>
    <w:rsid w:val="00B06970"/>
    <w:rsid w:val="00B10B5A"/>
    <w:rsid w:val="00B142AC"/>
    <w:rsid w:val="00B14B4A"/>
    <w:rsid w:val="00B21CC3"/>
    <w:rsid w:val="00B23E76"/>
    <w:rsid w:val="00B24D52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1645E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1BC6"/>
    <w:rsid w:val="00C57CB9"/>
    <w:rsid w:val="00C61E40"/>
    <w:rsid w:val="00C61EAF"/>
    <w:rsid w:val="00C644A1"/>
    <w:rsid w:val="00C85D78"/>
    <w:rsid w:val="00C917EF"/>
    <w:rsid w:val="00C940B5"/>
    <w:rsid w:val="00C97B83"/>
    <w:rsid w:val="00CA1BB3"/>
    <w:rsid w:val="00CB00B1"/>
    <w:rsid w:val="00CB28D5"/>
    <w:rsid w:val="00CB4844"/>
    <w:rsid w:val="00CB5C91"/>
    <w:rsid w:val="00CC13C8"/>
    <w:rsid w:val="00CC39D3"/>
    <w:rsid w:val="00CC7DF5"/>
    <w:rsid w:val="00CD1C0C"/>
    <w:rsid w:val="00CD22F3"/>
    <w:rsid w:val="00CD6745"/>
    <w:rsid w:val="00CD696B"/>
    <w:rsid w:val="00CE1334"/>
    <w:rsid w:val="00CE3AB2"/>
    <w:rsid w:val="00CE3EC6"/>
    <w:rsid w:val="00CE40C1"/>
    <w:rsid w:val="00CE6426"/>
    <w:rsid w:val="00CF04D0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3F57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17E"/>
    <w:rsid w:val="00D8075D"/>
    <w:rsid w:val="00D821E1"/>
    <w:rsid w:val="00D82848"/>
    <w:rsid w:val="00D834C7"/>
    <w:rsid w:val="00D835AD"/>
    <w:rsid w:val="00D837BB"/>
    <w:rsid w:val="00D8674C"/>
    <w:rsid w:val="00D86BED"/>
    <w:rsid w:val="00D91E79"/>
    <w:rsid w:val="00D92EFF"/>
    <w:rsid w:val="00D9503E"/>
    <w:rsid w:val="00D95FA2"/>
    <w:rsid w:val="00DA199B"/>
    <w:rsid w:val="00DA2D42"/>
    <w:rsid w:val="00DA3531"/>
    <w:rsid w:val="00DA3EA4"/>
    <w:rsid w:val="00DA54D0"/>
    <w:rsid w:val="00DB07D3"/>
    <w:rsid w:val="00DB2C71"/>
    <w:rsid w:val="00DB5EDC"/>
    <w:rsid w:val="00DD1205"/>
    <w:rsid w:val="00DD263A"/>
    <w:rsid w:val="00DE5C3C"/>
    <w:rsid w:val="00DE63F0"/>
    <w:rsid w:val="00DF0087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1CDF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A7BD4"/>
    <w:rsid w:val="00EC37DE"/>
    <w:rsid w:val="00ED2C04"/>
    <w:rsid w:val="00ED3B40"/>
    <w:rsid w:val="00ED6D41"/>
    <w:rsid w:val="00ED7216"/>
    <w:rsid w:val="00EE2BA8"/>
    <w:rsid w:val="00EF091F"/>
    <w:rsid w:val="00EF47D6"/>
    <w:rsid w:val="00F10AE1"/>
    <w:rsid w:val="00F264FB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4CAD"/>
    <w:rsid w:val="00F85783"/>
    <w:rsid w:val="00F86F51"/>
    <w:rsid w:val="00F86F7A"/>
    <w:rsid w:val="00F903A5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364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BFD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352</cp:revision>
  <dcterms:created xsi:type="dcterms:W3CDTF">2019-10-16T10:03:00Z</dcterms:created>
  <dcterms:modified xsi:type="dcterms:W3CDTF">2020-06-24T04:16:00Z</dcterms:modified>
</cp:coreProperties>
</file>